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习近平总书记关于党的自我革命的重要思想的道理学理哲理</w:t>
      </w:r>
    </w:p>
    <w:p>
      <w:pPr>
        <w:widowControl/>
        <w:spacing w:line="420" w:lineRule="atLeast"/>
        <w:jc w:val="center"/>
        <w:rPr>
          <w:rFonts w:hint="eastAsia" w:ascii="宋体" w:hAnsi="宋体" w:eastAsia="宋体" w:cs="宋体"/>
          <w:color w:val="595959"/>
          <w:kern w:val="0"/>
          <w:szCs w:val="21"/>
          <w14:ligatures w14:val="none"/>
        </w:rPr>
      </w:pP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05</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14</w:t>
      </w:r>
      <w:r>
        <w:rPr>
          <w:rFonts w:hint="eastAsia" w:ascii="宋体" w:hAnsi="宋体" w:eastAsia="宋体" w:cs="宋体"/>
          <w:color w:val="595959"/>
          <w:kern w:val="0"/>
          <w:szCs w:val="21"/>
          <w14:ligatures w14:val="none"/>
        </w:rPr>
        <w:t>来源：《党建》杂志</w:t>
      </w: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年第</w:t>
      </w:r>
      <w:r>
        <w:rPr>
          <w:rFonts w:hint="eastAsia" w:ascii="Times New Roman" w:hAnsi="Times New Roman" w:eastAsia="宋体" w:cs="宋体"/>
          <w:color w:val="595959"/>
          <w:kern w:val="0"/>
          <w:szCs w:val="21"/>
          <w14:ligatures w14:val="none"/>
        </w:rPr>
        <w:t>5</w:t>
      </w:r>
      <w:r>
        <w:rPr>
          <w:rFonts w:hint="eastAsia" w:ascii="宋体" w:hAnsi="宋体" w:eastAsia="宋体" w:cs="宋体"/>
          <w:color w:val="595959"/>
          <w:kern w:val="0"/>
          <w:szCs w:val="21"/>
          <w14:ligatures w14:val="none"/>
        </w:rPr>
        <w:t>期作者：齐卫平</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习近平总书记关于党的自我革命的</w:t>
      </w:r>
      <w:bookmarkStart w:id="0" w:name="_GoBack"/>
      <w:bookmarkEnd w:id="0"/>
      <w:r>
        <w:rPr>
          <w:rFonts w:hint="eastAsia" w:ascii="宋体" w:hAnsi="宋体" w:eastAsia="宋体" w:cs="宋体"/>
          <w:color w:val="262626"/>
          <w:kern w:val="0"/>
          <w:sz w:val="21"/>
          <w:szCs w:val="21"/>
          <w14:ligatures w14:val="none"/>
        </w:rPr>
        <w:t>重要思想是我们党坚持“两个结合”推进理论创新取得的新成果，构成了习近平新时代中国特色社会主义思想的新篇章，在中国共产党发展史、马克思主义政党建设史上都具有里程碑意义。</w:t>
      </w:r>
      <w:r>
        <w:rPr>
          <w:rFonts w:hint="eastAsia" w:ascii="Times New Roman" w:hAnsi="Times New Roman" w:eastAsia="宋体" w:cs="宋体"/>
          <w:color w:val="262626"/>
          <w:kern w:val="0"/>
          <w:sz w:val="21"/>
          <w:szCs w:val="21"/>
          <w14:ligatures w14:val="none"/>
        </w:rPr>
        <w:t>2024</w:t>
      </w:r>
      <w:r>
        <w:rPr>
          <w:rFonts w:hint="eastAsia" w:ascii="宋体" w:hAnsi="宋体" w:eastAsia="宋体" w:cs="宋体"/>
          <w:color w:val="262626"/>
          <w:kern w:val="0"/>
          <w:sz w:val="21"/>
          <w:szCs w:val="21"/>
          <w14:ligatures w14:val="none"/>
        </w:rPr>
        <w:t>年</w:t>
      </w:r>
      <w:r>
        <w:rPr>
          <w:rFonts w:hint="eastAsia" w:ascii="Times New Roman" w:hAnsi="Times New Roman" w:eastAsia="宋体" w:cs="宋体"/>
          <w:color w:val="262626"/>
          <w:kern w:val="0"/>
          <w:sz w:val="21"/>
          <w:szCs w:val="21"/>
          <w14:ligatures w14:val="none"/>
        </w:rPr>
        <w:t>1</w:t>
      </w:r>
      <w:r>
        <w:rPr>
          <w:rFonts w:hint="eastAsia" w:ascii="宋体" w:hAnsi="宋体" w:eastAsia="宋体" w:cs="宋体"/>
          <w:color w:val="262626"/>
          <w:kern w:val="0"/>
          <w:sz w:val="21"/>
          <w:szCs w:val="21"/>
          <w14:ligatures w14:val="none"/>
        </w:rPr>
        <w:t>月</w:t>
      </w:r>
      <w:r>
        <w:rPr>
          <w:rFonts w:hint="eastAsia" w:ascii="Times New Roman" w:hAnsi="Times New Roman" w:eastAsia="宋体" w:cs="宋体"/>
          <w:color w:val="262626"/>
          <w:kern w:val="0"/>
          <w:sz w:val="21"/>
          <w:szCs w:val="21"/>
          <w14:ligatures w14:val="none"/>
        </w:rPr>
        <w:t>8</w:t>
      </w:r>
      <w:r>
        <w:rPr>
          <w:rFonts w:hint="eastAsia" w:ascii="宋体" w:hAnsi="宋体" w:eastAsia="宋体" w:cs="宋体"/>
          <w:color w:val="262626"/>
          <w:kern w:val="0"/>
          <w:sz w:val="21"/>
          <w:szCs w:val="21"/>
          <w14:ligatures w14:val="none"/>
        </w:rPr>
        <w:t>日，习近平总书记在中国共产党第二十届中央纪律检查委员会第三次全体会议上发表重要讲话，强调在深入推进党的自我革命实践中需要把握好九个问题，为新时代新征程深入推进党的自我革命提供了根本遵循。深入学习和把握习近平总书记关于党的自我革命的重要思想的道理学理哲理，对深刻认识中国共产党为什么要自我革命、为什么能自我革命、怎样推进自我革命具有重要意义。</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基本道理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自我革命是中国共产党百余年奋斗的经验总结，彰显了我们党敢于刀刃向内的勇气和魄力。党的十八大以来，习近平总书记带领全党以前所未有的决心和力度推进全面从严治党，创造性提出一系列具有原创性、标志性的新理念新思想新战略，形成习近平总书记关于党的自我革命的重要思想，指引百年大党开辟了自我革命的新境界。习近平总书记作出的一系列重要论述，深刻阐明了我们党勇于自我革命的基本道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勇于自我革命是中国共产党区别于其他政党的显著标志。</w:t>
      </w:r>
      <w:r>
        <w:rPr>
          <w:rFonts w:hint="eastAsia" w:ascii="宋体" w:hAnsi="宋体" w:eastAsia="宋体" w:cs="宋体"/>
          <w:color w:val="262626"/>
          <w:kern w:val="0"/>
          <w:sz w:val="21"/>
          <w:szCs w:val="21"/>
          <w14:ligatures w14:val="none"/>
        </w:rPr>
        <w:t>新民主主义革命时期，毛泽东同志从党的作风角度把批评和自我批评作为中国共产党区别于其他政党的显著标志。批评和自我批评与党的自我革命，都是党性淬炼的方式。习近平总书记进一步从马克思主义政党政治属性的角度揭示自我革命的标志性意义，鲜明地把党的显著标志与党的性质宗旨紧密联系起来，使党的自我革命成为彰显马克思主义政党政治属性的重大标识性概念。</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勇于自我革命是中国共产党最鲜明的品格和最大的优势。</w:t>
      </w:r>
      <w:r>
        <w:rPr>
          <w:rFonts w:hint="eastAsia" w:ascii="宋体" w:hAnsi="宋体" w:eastAsia="宋体" w:cs="宋体"/>
          <w:color w:val="262626"/>
          <w:kern w:val="0"/>
          <w:sz w:val="21"/>
          <w:szCs w:val="21"/>
          <w14:ligatures w14:val="none"/>
        </w:rPr>
        <w:t>政党精神铸造政党品格，中国共产党人弘扬伟大建党精神，在革命性锻造中培育出多种品格。其中，党的自我革命不仅彰显了革命的彻底性，而且对维护和发扬党的其他品格具有保障作用。习近平总书记强调，“勇于自我革命，是我们党最鲜明的品格，也是我们党最大的优势”，阐明了“最鲜明的品格”与“最大的优势”的内在逻辑关系。</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勇于自我革命是永葆党的先进性和纯洁性的内在要求。</w:t>
      </w:r>
      <w:r>
        <w:rPr>
          <w:rFonts w:hint="eastAsia" w:ascii="宋体" w:hAnsi="宋体" w:eastAsia="宋体" w:cs="宋体"/>
          <w:color w:val="262626"/>
          <w:kern w:val="0"/>
          <w:sz w:val="21"/>
          <w:szCs w:val="21"/>
          <w14:ligatures w14:val="none"/>
        </w:rPr>
        <w:t>政治灰尘和政治微生物随时会污染和侵蚀党的健康肌体，破坏党的先进性和纯洁性。习近平总书记强调，必须不断补足坚定理想信念的“精神之钙”，全面推进党的自我净化、自我完善、自我革新、自我提高，“自我革命就是补钙壮骨、排毒杀菌、壮士断腕、去腐生肌，不断清除侵蚀党的健康肌体的病毒，不断提高自身免疫力，防止人亡政息”。永葆党的先进性和纯洁性，必须一以贯之进行党的自我革命。</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勇于自我革命是党团结带领人民不断取得胜利的重要保障。</w:t>
      </w:r>
      <w:r>
        <w:rPr>
          <w:rFonts w:hint="eastAsia" w:ascii="宋体" w:hAnsi="宋体" w:eastAsia="宋体" w:cs="宋体"/>
          <w:color w:val="262626"/>
          <w:kern w:val="0"/>
          <w:sz w:val="21"/>
          <w:szCs w:val="21"/>
          <w14:ligatures w14:val="none"/>
        </w:rPr>
        <w:t>习近平总书记指出：“放眼全世界，没有任何一个政党能像中国共产党如此严肃认真地对待自身建设，如此高度自觉地以科学的态度、体系化的方式推进自我革命，这是我们党的显著优势，也是引领时代的制胜之道。”我们党紧紧依靠人民，跨过一道道沟坎，取得一个个胜利，“根本原因在于我们党始终保持了自我革命精神，保持了承认并改正错误的勇气”。有没有强烈的自我革命精神，有没有自我净化的过硬特质，能不能坚持不懈同自身存在的问题和错误作斗争，成为决定党兴衰成败的关键因素。自我革命是中国共产党立党兴党强党的重要法宝。</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勇于自我革命是防止堡垒从内部被攻破的长期任务。</w:t>
      </w:r>
      <w:r>
        <w:rPr>
          <w:rFonts w:hint="eastAsia" w:ascii="宋体" w:hAnsi="宋体" w:eastAsia="宋体" w:cs="宋体"/>
          <w:color w:val="262626"/>
          <w:kern w:val="0"/>
          <w:sz w:val="21"/>
          <w:szCs w:val="21"/>
          <w14:ligatures w14:val="none"/>
        </w:rPr>
        <w:t>坚固的堡垒最怕内部出问题，东欧剧变、苏共垮台、苏联解体上演了共产党自毁长城的悲剧。苏东国家共产党垮台的原因十分复杂，不能正视自身存在的问题，缺乏解决自身矛盾的勇气和魄力，就难以逃脱丧失执政地位的厄运。习近平总书记指出，“没有什么外力能够打倒我们，能够打倒我们的只有我们自己”。始终坚持党的自我革命，才能织密防范风险的篱笆，消除堡垒从内部被攻破的危险。</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勇于自我革命是党探索如何跳出历史周期率的新答案。</w:t>
      </w:r>
      <w:r>
        <w:rPr>
          <w:rFonts w:hint="eastAsia" w:ascii="宋体" w:hAnsi="宋体" w:eastAsia="宋体" w:cs="宋体"/>
          <w:color w:val="262626"/>
          <w:kern w:val="0"/>
          <w:sz w:val="21"/>
          <w:szCs w:val="21"/>
          <w14:ligatures w14:val="none"/>
        </w:rPr>
        <w:t>党的十八大以来，习近平总书记多次提到“赶考”话题，把党的自我革命与应对执政考验联系起来，在理论和实践创新基础上形成了新的重大论断，明确提出自我革命是我们党找到的跳出治乱兴衰历史周期率的第二个答案。这个基本道理告诉全党，保持和巩固党的执政地位必须勇于自我革命。</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系统学理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中国共产党为什么能自我革命？习近平总书记明确指出：“我们党没有任何自己特殊的利益，这是我们党敢于自我革命的勇气之源、底气所在。”始终代表中国最广大人民根本利益，从来不代表任何利益集团、任何权势团体、任何特权阶层的利益，是中国共产党勇于自我革命的根本原因。以学理为支撑，才能使党的自我革命的政治意义和科学价值相统一，从而增强自我革命的思想自觉和主动精神。</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从中共党史党建学的视角看，党的自我革命强调要进行党性锻炼，是管党治党的重要方式和路径。全面从严治党理论的体系化建构需要以党的自我革命学理知识为基础。党和国家确立中共党史党建学一级学科的地位，坚持党的性质宗旨、践行初心使命、弘扬伟大建党精神、坚持党的领导、坚持党性和人民性相统一、推进马克思主义基本原理同中国具体实际和中华优秀传统文化相结合、在守正创新中推进理论创新和进行理论创造、实现党的建设高质量发展等方面的知识架构，推动形成了管党治党的一系列概念范畴、原理原则、实践准则、逻辑关系、基本方法等，有助于推动党的自我革命的理论发展。</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从政治学的视角看，马克思主义政党学说为党的自我革命提供了理论依据，习近平总书记关于党的自我革命的重要思想，从政党政治属性、政党显著标志、政党鲜明品格、政党比较优势、政党自我修复、政党政治生活、政党政治生态、政党政治文化等多重维度，提出的一系列原创性思想和重大论断，拓展了党的自我革命学理化研究的视野。</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从制度学的视角看，党的二十大提出“完善党的自我革命制度规范体系”，这是坚定不移全面从严治党，深入推进新时代党的建设新的伟大工程的重大部署。完善党的自我革命制度规范体系，不仅是党的建设的重大实践命题，更是蕴含着丰富的理论命题。制度治党的逻辑、依规治党的原则、党内法规的权威性、党内法规和国家法律的关系、严明党的纪律和规矩的规范要求等，为党的自我革命提供了制度学的理论基础。</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从组织行为学的视角看，把治理的理念融入党的建设，这为党的自我革命提供了指引和遵循。组织行为学涉及组织环境、利益取舍、路线制定、决策选择、政绩观念、行为操守等，把这些概念、范畴、原理融入党坚持自我革命的全面认识，具有重要的理论价值。</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习近平总书记指出，“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习近平总书记关于党的自我革命的重要思想，在借鉴吸收多学科、多领域、多维度的知识体系基础上，集大成为具有中国特色、中国风格、中国气派的理论体系和话语体系。</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深邃哲理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的自我革命是“引领时代的制胜之道”，要使中国共产党始终站在时代前列引领发展，必须发扬勇于自我革命精神，把党锻造成一块攻无不克、战无不胜的坚硬钢铁。党的二十大提出“六个必须坚持”，所体现的立场观点方法对正确处理好党坚持自我革命的各种重大关系具有指导意义。</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正确处理好党的自我革命与党的领导的关系。</w:t>
      </w:r>
      <w:r>
        <w:rPr>
          <w:rFonts w:hint="eastAsia" w:ascii="宋体" w:hAnsi="宋体" w:eastAsia="宋体" w:cs="宋体"/>
          <w:color w:val="262626"/>
          <w:kern w:val="0"/>
          <w:sz w:val="21"/>
          <w:szCs w:val="21"/>
          <w14:ligatures w14:val="none"/>
        </w:rPr>
        <w:t>马克思主义认为，无产阶级政党“只有在革命中才能抛掉自己身上的一切陈旧的肮脏东西，才能胜任重建社会的工作”。光明磊落、坦荡无私，是共产党人的光辉品格，也是中国共产党坚持自我革命应具有的品格。党进行自我革命就是勇于承认和纠正错误，靠自己解决自身问题，无私无畏，战胜自我。那种认为直面矛盾、暴露问题、自揭伤疤会有损党的形象、不利于坚持党的领导的认识是错误的，必须坚决反对。党的自我革命正是为了把党建设得更加坚强有力，是坚持党的领导的题中应有之义。</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正确处理好党的自我革命与伟大社会革命的关系。</w:t>
      </w:r>
      <w:r>
        <w:rPr>
          <w:rFonts w:hint="eastAsia" w:ascii="宋体" w:hAnsi="宋体" w:eastAsia="宋体" w:cs="宋体"/>
          <w:color w:val="262626"/>
          <w:kern w:val="0"/>
          <w:sz w:val="21"/>
          <w:szCs w:val="21"/>
          <w14:ligatures w14:val="none"/>
        </w:rPr>
        <w:t>我国新型政党制度明确规定中国共产党全面领导和长期执政，这样的双重使命需要坚持党的自我革命和社会革命相统一。党的自我革命和社会革命相辅相成，党引领社会革命必须自身过硬，引领社会革命为党的自我革命提供动力。习近平总书记强调，“我们党必须以党的自我革命来推动党领导人民进行的伟大社会革命”。党的自我革命的强度和力度决定伟大社会革命的广度和深度，大力发扬勇于自我革命精神，才能把新时代坚持和发展中国特色社会主义这场伟大社会革命进行好。</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正确处理好党的自我革命与人民监督的关系。</w:t>
      </w:r>
      <w:r>
        <w:rPr>
          <w:rFonts w:hint="eastAsia" w:ascii="宋体" w:hAnsi="宋体" w:eastAsia="宋体" w:cs="宋体"/>
          <w:color w:val="262626"/>
          <w:kern w:val="0"/>
          <w:sz w:val="21"/>
          <w:szCs w:val="21"/>
          <w14:ligatures w14:val="none"/>
        </w:rPr>
        <w:t>坚持党的自我革命需要保持严于律己的清醒和坚定，加强自我施压才能使党不断进步。接受人民监督就是把党置于阳光之下，加强他律才能使党更好地进行自我革命。坚持党的自我革命的目的在于提高内在免疫力，人民监督能够帮助党从社会透视镜中发现自身存在的弊端。习近平总书记指出：“一百年来，党外靠发展人民民主、接受人民监督，内靠全面从严治党、推进自我革命，勇于坚持真理、修正错误，勇于刀刃向内、刮骨疗毒，保证了党长盛不衰、不断发展壮大。”“内靠”“外靠”相结合，体现了党的自我革命与人民监督相统一。</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正确处理好党的自我革命与解决大党独有难题的关系。</w:t>
      </w:r>
      <w:r>
        <w:rPr>
          <w:rFonts w:hint="eastAsia" w:ascii="宋体" w:hAnsi="宋体" w:eastAsia="宋体" w:cs="宋体"/>
          <w:color w:val="262626"/>
          <w:kern w:val="0"/>
          <w:sz w:val="21"/>
          <w:szCs w:val="21"/>
          <w14:ligatures w14:val="none"/>
        </w:rPr>
        <w:t>党的自我革命是奔着问题去的。有问题不可怕，可怕的是不敢直面问题，找不到解决问题的思路。管党治党的成效由解决问题的实效来检验，在党的建设中久治不愈的老问题必须着力破解，新情况产生的新问题必须及时警觉。党的二十大提出“必须时刻保持解决大党独有难题的清醒和坚定”，习近平总书记结合世情国情党情，提出解决大党独有难题六个方面的聚焦点，强调解决大党独有难题“是实现新时代新征程党的使命任务必须迈过的一道坎，是全面从严治党适应新形势新要求必须啃下的硬骨头”。习近平总书记在中国共产党第二十届中央纪律检查委员会第三次全体会议上发表重要讲话指出，深入推进党的自我革命，“以解决大党独有难题为主攻方向”。在党的自我革命中解决好大党独有难题，党才能在推进强国建设、民族复兴伟业的新征程上交出一份不负历史、不负时代、不负人民的优异答卷。</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（作者系华东师范大学马克思主义学院教授）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责任编辑：胡伟屹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蘋果儷細宋">
    <w:panose1 w:val="00000000000000000000"/>
    <w:charset w:val="88"/>
    <w:family w:val="auto"/>
    <w:pitch w:val="default"/>
    <w:sig w:usb0="800000E3" w:usb1="30C97878" w:usb2="00000016" w:usb3="00000000" w:csb0="001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7E"/>
    <w:rsid w:val="0037197E"/>
    <w:rsid w:val="00E81327"/>
    <w:rsid w:val="FDFE8770"/>
    <w:rsid w:val="FE8F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622</Words>
  <Characters>3546</Characters>
  <Lines>29</Lines>
  <Paragraphs>8</Paragraphs>
  <TotalTime>1</TotalTime>
  <ScaleCrop>false</ScaleCrop>
  <LinksUpToDate>false</LinksUpToDate>
  <CharactersWithSpaces>4160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2024-05-15T19:38:00Z</dcterms:created>
  <dc:creator>艺 董</dc:creator>
  <cp:lastModifiedBy>林宣瑶</cp:lastModifiedBy>
  <dcterms:modified xsi:type="dcterms:W3CDTF">2024-05-15T20:31:59Z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F0740D699DA6786B1EAA4466B344B63D_42</vt:lpwstr>
  </property>
</Properties>
</file>